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59" w:rsidRPr="00BB583F" w:rsidRDefault="00552359">
      <w:pPr>
        <w:rPr>
          <w:b/>
        </w:rPr>
      </w:pPr>
      <w:r>
        <w:rPr>
          <w:b/>
        </w:rPr>
        <w:t xml:space="preserve">Kampagnenplanung – Meilensteine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058"/>
        <w:gridCol w:w="543"/>
        <w:gridCol w:w="576"/>
        <w:gridCol w:w="725"/>
        <w:gridCol w:w="576"/>
        <w:gridCol w:w="604"/>
        <w:gridCol w:w="554"/>
        <w:gridCol w:w="484"/>
        <w:gridCol w:w="605"/>
        <w:gridCol w:w="580"/>
        <w:gridCol w:w="577"/>
        <w:gridCol w:w="617"/>
        <w:gridCol w:w="584"/>
        <w:gridCol w:w="543"/>
        <w:gridCol w:w="576"/>
        <w:gridCol w:w="725"/>
        <w:gridCol w:w="576"/>
      </w:tblGrid>
      <w:tr w:rsidR="00552359" w:rsidRPr="0051126C">
        <w:tc>
          <w:tcPr>
            <w:tcW w:w="2515" w:type="pct"/>
            <w:tcBorders>
              <w:right w:val="nil"/>
            </w:tcBorders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ind w:left="708" w:hanging="708"/>
              <w:rPr>
                <w:rFonts w:cs="Courier New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13" w:type="pct"/>
            <w:gridSpan w:val="12"/>
            <w:tcBorders>
              <w:left w:val="nil"/>
              <w:right w:val="nil"/>
            </w:tcBorders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/>
                <w:sz w:val="24"/>
                <w:szCs w:val="24"/>
              </w:rPr>
            </w:pPr>
            <w:r w:rsidRPr="0051126C">
              <w:rPr>
                <w:rFonts w:cs="Courier New"/>
                <w:b/>
                <w:bCs/>
                <w:color w:val="FFFFFF"/>
                <w:sz w:val="24"/>
                <w:szCs w:val="24"/>
              </w:rPr>
              <w:t>erstes Kampagnenjahr</w:t>
            </w:r>
          </w:p>
        </w:tc>
        <w:tc>
          <w:tcPr>
            <w:tcW w:w="672" w:type="pct"/>
            <w:gridSpan w:val="4"/>
            <w:tcBorders>
              <w:left w:val="nil"/>
            </w:tcBorders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/>
                <w:sz w:val="24"/>
                <w:szCs w:val="24"/>
              </w:rPr>
            </w:pPr>
            <w:r w:rsidRPr="0051126C">
              <w:rPr>
                <w:rFonts w:cs="Courier New"/>
                <w:b/>
                <w:bCs/>
                <w:color w:val="FFFFFF"/>
                <w:sz w:val="24"/>
                <w:szCs w:val="24"/>
              </w:rPr>
              <w:t>zweites Kampagnenjahr</w:t>
            </w:r>
          </w:p>
        </w:tc>
      </w:tr>
      <w:tr w:rsidR="00552359" w:rsidRPr="0051126C">
        <w:tc>
          <w:tcPr>
            <w:tcW w:w="2515" w:type="pct"/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ind w:left="708" w:hanging="708"/>
              <w:rPr>
                <w:rFonts w:cs="Courier New"/>
                <w:b/>
                <w:bCs/>
                <w:color w:val="FFFFFF"/>
                <w:sz w:val="28"/>
                <w:szCs w:val="18"/>
              </w:rPr>
            </w:pPr>
            <w:r w:rsidRPr="0051126C">
              <w:rPr>
                <w:rFonts w:cs="Courier New"/>
                <w:b/>
                <w:bCs/>
                <w:color w:val="FFFFFF"/>
                <w:sz w:val="28"/>
                <w:szCs w:val="18"/>
              </w:rPr>
              <w:t>Meilensteine</w:t>
            </w:r>
          </w:p>
        </w:tc>
        <w:tc>
          <w:tcPr>
            <w:tcW w:w="143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Jan</w:t>
            </w:r>
          </w:p>
        </w:tc>
        <w:tc>
          <w:tcPr>
            <w:tcW w:w="149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Feb</w:t>
            </w:r>
          </w:p>
        </w:tc>
        <w:tc>
          <w:tcPr>
            <w:tcW w:w="18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März</w:t>
            </w:r>
          </w:p>
        </w:tc>
        <w:tc>
          <w:tcPr>
            <w:tcW w:w="149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Apr</w:t>
            </w:r>
          </w:p>
        </w:tc>
        <w:tc>
          <w:tcPr>
            <w:tcW w:w="15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Mai</w:t>
            </w:r>
          </w:p>
        </w:tc>
        <w:tc>
          <w:tcPr>
            <w:tcW w:w="14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Jun</w:t>
            </w:r>
          </w:p>
        </w:tc>
        <w:tc>
          <w:tcPr>
            <w:tcW w:w="13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Jul</w:t>
            </w:r>
          </w:p>
        </w:tc>
        <w:tc>
          <w:tcPr>
            <w:tcW w:w="15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Aug</w:t>
            </w:r>
          </w:p>
        </w:tc>
        <w:tc>
          <w:tcPr>
            <w:tcW w:w="15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Sep</w:t>
            </w:r>
          </w:p>
        </w:tc>
        <w:tc>
          <w:tcPr>
            <w:tcW w:w="15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Okt</w:t>
            </w:r>
          </w:p>
        </w:tc>
        <w:tc>
          <w:tcPr>
            <w:tcW w:w="158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Nov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Dez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Jan</w:t>
            </w:r>
          </w:p>
        </w:tc>
        <w:tc>
          <w:tcPr>
            <w:tcW w:w="161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Feb</w:t>
            </w:r>
          </w:p>
        </w:tc>
        <w:tc>
          <w:tcPr>
            <w:tcW w:w="19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März</w:t>
            </w:r>
          </w:p>
        </w:tc>
        <w:tc>
          <w:tcPr>
            <w:tcW w:w="161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b/>
                <w:sz w:val="24"/>
                <w:szCs w:val="14"/>
              </w:rPr>
            </w:pPr>
            <w:r w:rsidRPr="0051126C">
              <w:rPr>
                <w:rFonts w:cs="Courier New"/>
                <w:b/>
                <w:sz w:val="24"/>
                <w:szCs w:val="14"/>
              </w:rPr>
              <w:t>Apr</w:t>
            </w:r>
          </w:p>
        </w:tc>
      </w:tr>
      <w:tr w:rsidR="00552359" w:rsidRPr="0051126C">
        <w:tc>
          <w:tcPr>
            <w:tcW w:w="2515" w:type="pct"/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rPr>
                <w:rFonts w:cs="Courier New"/>
                <w:b/>
                <w:bCs/>
                <w:color w:val="FFFFFF"/>
                <w:sz w:val="24"/>
                <w:szCs w:val="18"/>
              </w:rPr>
            </w:pPr>
            <w:r w:rsidRPr="0051126C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>M1: Vorbereitungsphase -1</w:t>
            </w:r>
            <w:r w:rsidRPr="0051126C">
              <w:rPr>
                <w:rFonts w:cs="Trebuchet MS"/>
                <w:bCs/>
                <w:color w:val="000000"/>
                <w:sz w:val="24"/>
                <w:lang w:eastAsia="mr-IN" w:bidi="mr-IN"/>
              </w:rPr>
              <w:t xml:space="preserve">: </w:t>
            </w:r>
            <w:r w:rsidRPr="0051126C">
              <w:rPr>
                <w:b/>
                <w:bCs/>
                <w:color w:val="000000"/>
                <w:sz w:val="24"/>
              </w:rPr>
              <w:t>Kampagnengebäude, Zielgruppen und Zielverhalten erkunden</w:t>
            </w:r>
            <w:r w:rsidRPr="0051126C" w:rsidDel="0092210E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 xml:space="preserve"> </w:t>
            </w:r>
            <w:r w:rsidRPr="0051126C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>abgeschlossen</w:t>
            </w:r>
          </w:p>
        </w:tc>
        <w:tc>
          <w:tcPr>
            <w:tcW w:w="143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52359" w:rsidRPr="0051126C">
        <w:tc>
          <w:tcPr>
            <w:tcW w:w="2515" w:type="pct"/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ind w:left="113" w:hanging="113"/>
              <w:rPr>
                <w:rFonts w:cs="Courier New"/>
                <w:b/>
                <w:bCs/>
                <w:color w:val="FFFFFF"/>
                <w:sz w:val="24"/>
                <w:szCs w:val="18"/>
              </w:rPr>
            </w:pPr>
            <w:r w:rsidRPr="0051126C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>M2: Vorbereitungsphase-2</w:t>
            </w:r>
            <w:r w:rsidRPr="0051126C">
              <w:rPr>
                <w:rFonts w:cs="Trebuchet MS"/>
                <w:bCs/>
                <w:color w:val="000000"/>
                <w:sz w:val="24"/>
                <w:lang w:eastAsia="mr-IN" w:bidi="mr-IN"/>
              </w:rPr>
              <w:t xml:space="preserve">: </w:t>
            </w:r>
            <w:r w:rsidRPr="0051126C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>Kernteambildung und Initialworkshop umgesetzt</w:t>
            </w:r>
          </w:p>
        </w:tc>
        <w:tc>
          <w:tcPr>
            <w:tcW w:w="143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52359" w:rsidRPr="0051126C">
        <w:tc>
          <w:tcPr>
            <w:tcW w:w="2515" w:type="pct"/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ind w:left="113" w:hanging="113"/>
              <w:rPr>
                <w:rFonts w:cs="Courier New"/>
                <w:b/>
                <w:bCs/>
                <w:i/>
                <w:color w:val="FFFFFF"/>
                <w:sz w:val="24"/>
                <w:szCs w:val="18"/>
              </w:rPr>
            </w:pPr>
            <w:r w:rsidRPr="0051126C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>M3: Konkretisierungsphase abgeschlossen</w:t>
            </w:r>
          </w:p>
        </w:tc>
        <w:tc>
          <w:tcPr>
            <w:tcW w:w="143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52359" w:rsidRPr="0051126C">
        <w:tc>
          <w:tcPr>
            <w:tcW w:w="2515" w:type="pct"/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ind w:left="113" w:hanging="113"/>
              <w:rPr>
                <w:rFonts w:cs="Courier New"/>
                <w:b/>
                <w:bCs/>
                <w:color w:val="FFFFFF"/>
                <w:sz w:val="24"/>
                <w:szCs w:val="18"/>
              </w:rPr>
            </w:pPr>
            <w:r w:rsidRPr="0051126C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>M4: Umsetzungsphase - Aktionstag umgesetzt</w:t>
            </w:r>
          </w:p>
        </w:tc>
        <w:tc>
          <w:tcPr>
            <w:tcW w:w="143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52359" w:rsidRPr="0051126C">
        <w:tc>
          <w:tcPr>
            <w:tcW w:w="2515" w:type="pct"/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ind w:left="113" w:hanging="113"/>
              <w:rPr>
                <w:rFonts w:cs="Courier New"/>
                <w:b/>
                <w:bCs/>
                <w:color w:val="FFFFFF"/>
                <w:sz w:val="24"/>
                <w:szCs w:val="18"/>
              </w:rPr>
            </w:pPr>
            <w:r w:rsidRPr="0051126C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>M5: Umsetzungsphase - Preisverleihung Selbstverpflichtungsbogen oder Ideenwettbewerb umgesetzt</w:t>
            </w:r>
          </w:p>
        </w:tc>
        <w:tc>
          <w:tcPr>
            <w:tcW w:w="143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DE9D9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52359" w:rsidRPr="0051126C">
        <w:tc>
          <w:tcPr>
            <w:tcW w:w="2515" w:type="pct"/>
            <w:shd w:val="clear" w:color="auto" w:fill="F79646"/>
          </w:tcPr>
          <w:p w:rsidR="00552359" w:rsidRPr="0051126C" w:rsidRDefault="00552359" w:rsidP="0051126C">
            <w:pPr>
              <w:spacing w:after="0" w:line="240" w:lineRule="auto"/>
              <w:ind w:left="113" w:hanging="113"/>
              <w:rPr>
                <w:rFonts w:cs="Courier New"/>
                <w:b/>
                <w:bCs/>
                <w:color w:val="FFFFFF"/>
                <w:sz w:val="24"/>
                <w:szCs w:val="18"/>
              </w:rPr>
            </w:pPr>
            <w:r w:rsidRPr="0051126C">
              <w:rPr>
                <w:rFonts w:cs="Trebuchet MS"/>
                <w:b/>
                <w:bCs/>
                <w:color w:val="000000"/>
                <w:sz w:val="24"/>
                <w:lang w:eastAsia="mr-IN" w:bidi="mr-IN"/>
              </w:rPr>
              <w:t>M6: Kampagnenabschluss umgesetzt bzw. Folgekampagne angeschoben</w:t>
            </w:r>
          </w:p>
        </w:tc>
        <w:tc>
          <w:tcPr>
            <w:tcW w:w="143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FBD4B4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E36C0A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984806"/>
          </w:tcPr>
          <w:p w:rsidR="00552359" w:rsidRPr="0051126C" w:rsidRDefault="00552359" w:rsidP="0051126C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</w:tbl>
    <w:p w:rsidR="00552359" w:rsidRDefault="00552359">
      <w:bookmarkStart w:id="0" w:name="_GoBack"/>
      <w:bookmarkEnd w:id="0"/>
    </w:p>
    <w:sectPr w:rsidR="00552359" w:rsidSect="00BB58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83F"/>
    <w:rsid w:val="001332E7"/>
    <w:rsid w:val="001508BA"/>
    <w:rsid w:val="002F03FC"/>
    <w:rsid w:val="00426CFB"/>
    <w:rsid w:val="0049352A"/>
    <w:rsid w:val="0051126C"/>
    <w:rsid w:val="00552359"/>
    <w:rsid w:val="006408EC"/>
    <w:rsid w:val="006F67EB"/>
    <w:rsid w:val="007D2B3C"/>
    <w:rsid w:val="007D4442"/>
    <w:rsid w:val="00816E2D"/>
    <w:rsid w:val="00836779"/>
    <w:rsid w:val="008525F3"/>
    <w:rsid w:val="0092210E"/>
    <w:rsid w:val="009461E1"/>
    <w:rsid w:val="00BB583F"/>
    <w:rsid w:val="00BE139F"/>
    <w:rsid w:val="00EA04F1"/>
    <w:rsid w:val="00ED438A"/>
    <w:rsid w:val="00F34178"/>
    <w:rsid w:val="00F76BEF"/>
    <w:rsid w:val="00FD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BA"/>
    <w:rPr>
      <w:rFonts w:ascii="Segoe UI" w:hAnsi="Segoe UI" w:cs="Segoe UI"/>
      <w:sz w:val="18"/>
      <w:szCs w:val="18"/>
    </w:rPr>
  </w:style>
  <w:style w:type="table" w:customStyle="1" w:styleId="GridTable5DarkAccent6">
    <w:name w:val="Grid Table 5 Dark Accent 6"/>
    <w:uiPriority w:val="99"/>
    <w:rsid w:val="001508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Kampagnenplanung – Meilensteine </dc:title>
  <dc:subject/>
  <dc:creator>Ingo Kastner</dc:creator>
  <cp:keywords/>
  <dc:description/>
  <cp:lastModifiedBy>Andreas Stolberg</cp:lastModifiedBy>
  <cp:revision>2</cp:revision>
  <cp:lastPrinted>2015-06-30T10:58:00Z</cp:lastPrinted>
  <dcterms:created xsi:type="dcterms:W3CDTF">2018-10-12T06:25:00Z</dcterms:created>
  <dcterms:modified xsi:type="dcterms:W3CDTF">2018-10-12T06:25:00Z</dcterms:modified>
</cp:coreProperties>
</file>